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2D86" w14:textId="688F7180" w:rsidR="00684053" w:rsidRDefault="00684053" w:rsidP="00684053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41372B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</w:t>
      </w:r>
      <w:r w:rsidR="005D52D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5D52D6">
        <w:rPr>
          <w:rFonts w:ascii="Times New Roman" w:hAnsi="Times New Roman" w:cs="Times New Roman"/>
          <w:sz w:val="32"/>
          <w:szCs w:val="32"/>
        </w:rPr>
        <w:t>6</w:t>
      </w:r>
      <w:r w:rsidRPr="0041372B">
        <w:rPr>
          <w:rFonts w:ascii="Times New Roman" w:hAnsi="Times New Roman" w:cs="Times New Roman"/>
          <w:sz w:val="32"/>
          <w:szCs w:val="32"/>
        </w:rPr>
        <w:t xml:space="preserve"> – Sociální práce</w:t>
      </w:r>
    </w:p>
    <w:p w14:paraId="0D5A1078" w14:textId="77777777" w:rsidR="00CC45A2" w:rsidRPr="0041372B" w:rsidRDefault="00CC45A2" w:rsidP="00684053">
      <w:pPr>
        <w:pStyle w:val="Podnadpis"/>
        <w:rPr>
          <w:rFonts w:ascii="Times New Roman" w:hAnsi="Times New Roman" w:cs="Times New Roman"/>
          <w:sz w:val="32"/>
          <w:szCs w:val="32"/>
        </w:rPr>
      </w:pPr>
    </w:p>
    <w:p w14:paraId="7D4C3070" w14:textId="77777777" w:rsidR="00684053" w:rsidRDefault="00684053" w:rsidP="00CC45A2">
      <w:pPr>
        <w:pStyle w:val="Nadpis2"/>
        <w:spacing w:line="25" w:lineRule="atLeast"/>
        <w:rPr>
          <w:color w:val="1F497D" w:themeColor="text2"/>
          <w:sz w:val="28"/>
          <w:szCs w:val="28"/>
        </w:rPr>
      </w:pPr>
      <w:r w:rsidRPr="0041372B">
        <w:rPr>
          <w:color w:val="1F497D" w:themeColor="text2"/>
          <w:sz w:val="28"/>
          <w:szCs w:val="28"/>
        </w:rPr>
        <w:t>Denní studium</w:t>
      </w:r>
    </w:p>
    <w:p w14:paraId="6EEB32D1" w14:textId="77777777" w:rsidR="00684053" w:rsidRPr="0041372B" w:rsidRDefault="00684053" w:rsidP="00684053">
      <w:pPr>
        <w:spacing w:before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41372B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14:paraId="50097F20" w14:textId="77777777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14:paraId="175ECA91" w14:textId="77777777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8DCB48" w14:textId="4A5FC2F0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 w:rsidR="005D52D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9. 202</w:t>
      </w:r>
      <w:r w:rsidR="005D52D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1</w:t>
      </w:r>
      <w:r w:rsidR="005D52D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12. 202</w:t>
      </w:r>
      <w:r w:rsidR="005D52D6">
        <w:rPr>
          <w:rFonts w:ascii="Times New Roman" w:hAnsi="Times New Roman"/>
          <w:b/>
          <w:sz w:val="24"/>
          <w:szCs w:val="24"/>
        </w:rPr>
        <w:t>5</w:t>
      </w:r>
    </w:p>
    <w:p w14:paraId="1CBC6240" w14:textId="53367B2C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 xml:space="preserve">letní </w:t>
      </w:r>
      <w:proofErr w:type="gramStart"/>
      <w:r w:rsidRPr="009F6A9C">
        <w:rPr>
          <w:rFonts w:ascii="Times New Roman" w:hAnsi="Times New Roman"/>
          <w:i/>
          <w:sz w:val="24"/>
          <w:szCs w:val="24"/>
        </w:rPr>
        <w:t>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D52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2. 202</w:t>
      </w:r>
      <w:r w:rsidR="005D52D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 w:rsidR="005D52D6">
        <w:rPr>
          <w:rFonts w:ascii="Times New Roman" w:hAnsi="Times New Roman"/>
          <w:b/>
          <w:sz w:val="24"/>
          <w:szCs w:val="24"/>
        </w:rPr>
        <w:t>30. 4</w:t>
      </w:r>
      <w:r>
        <w:rPr>
          <w:rFonts w:ascii="Times New Roman" w:hAnsi="Times New Roman"/>
          <w:b/>
          <w:sz w:val="24"/>
          <w:szCs w:val="24"/>
        </w:rPr>
        <w:t>. 202</w:t>
      </w:r>
      <w:r w:rsidR="005D52D6">
        <w:rPr>
          <w:rFonts w:ascii="Times New Roman" w:hAnsi="Times New Roman"/>
          <w:b/>
          <w:sz w:val="24"/>
          <w:szCs w:val="24"/>
        </w:rPr>
        <w:t>6</w:t>
      </w:r>
    </w:p>
    <w:p w14:paraId="0211E39B" w14:textId="77777777" w:rsidR="00684053" w:rsidRPr="009F6A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556730" w14:textId="77777777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 praxe, postupné seznamování s kompetencemi v soc</w:t>
      </w:r>
      <w:r>
        <w:rPr>
          <w:rFonts w:ascii="Times New Roman" w:hAnsi="Times New Roman"/>
          <w:sz w:val="24"/>
          <w:szCs w:val="24"/>
        </w:rPr>
        <w:t>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14:paraId="7E64408D" w14:textId="77777777"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083C8C76" w14:textId="16EBD941"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</w:t>
      </w:r>
      <w:r w:rsidR="00CC4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PC)</w:t>
      </w:r>
      <w:r w:rsidRPr="008D439C">
        <w:rPr>
          <w:rFonts w:ascii="Times New Roman" w:hAnsi="Times New Roman"/>
          <w:sz w:val="24"/>
          <w:szCs w:val="24"/>
        </w:rPr>
        <w:t>. Na</w:t>
      </w:r>
      <w:r w:rsidR="00CC45A2"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</w:t>
      </w:r>
      <w:r w:rsidR="00CC45A2">
        <w:rPr>
          <w:rFonts w:ascii="Times New Roman" w:hAnsi="Times New Roman"/>
          <w:sz w:val="24"/>
          <w:szCs w:val="24"/>
        </w:rPr>
        <w:t xml:space="preserve"> a</w:t>
      </w:r>
      <w:r w:rsidRPr="008D439C">
        <w:rPr>
          <w:rFonts w:ascii="Times New Roman" w:hAnsi="Times New Roman"/>
          <w:sz w:val="24"/>
          <w:szCs w:val="24"/>
        </w:rPr>
        <w:t xml:space="preserve"> od odborné praxe“, zdařilá vystoupení v seminářích, doklady o dobrovolnické činnosti, zapojení do charitativních akcí, hodnocení naplňování vybrané kompetence z praxe, později hodnocení ze souvislých praxí a podobně.</w:t>
      </w:r>
    </w:p>
    <w:p w14:paraId="15E52D30" w14:textId="77777777"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14034542" w14:textId="26C4F6BA"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</w:t>
      </w:r>
      <w:r w:rsidR="00FD4F81">
        <w:rPr>
          <w:rFonts w:ascii="Times New Roman" w:hAnsi="Times New Roman"/>
          <w:sz w:val="24"/>
          <w:szCs w:val="24"/>
        </w:rPr>
        <w:t>i</w:t>
      </w:r>
      <w:r w:rsidRPr="007027A0">
        <w:rPr>
          <w:rFonts w:ascii="Times New Roman" w:hAnsi="Times New Roman"/>
          <w:sz w:val="24"/>
          <w:szCs w:val="24"/>
        </w:rPr>
        <w:t xml:space="preserve">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o kterých se dozví v souvislosti s výkonem praxe, a to jak v průběhu praxe, tak po jejím skončení.</w:t>
      </w:r>
    </w:p>
    <w:p w14:paraId="5C84BF01" w14:textId="77777777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6BA074E2" w14:textId="77777777" w:rsidR="00684053" w:rsidRPr="008D439C" w:rsidRDefault="00684053" w:rsidP="00684053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14:paraId="05B0F50C" w14:textId="77777777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14:paraId="70B5730C" w14:textId="77777777" w:rsidR="00684053" w:rsidRPr="008D439C" w:rsidRDefault="00684053" w:rsidP="00684053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14:paraId="7C0B7B35" w14:textId="77777777"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5F82972A" w14:textId="77777777"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14:paraId="2FEE0A4A" w14:textId="77777777"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14:paraId="5A0D7F2A" w14:textId="77777777"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206674009"/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bookmarkEnd w:id="0"/>
    <w:p w14:paraId="52D456A2" w14:textId="77777777"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370C5FAA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Odborný seminář</w:t>
      </w:r>
    </w:p>
    <w:p w14:paraId="70BEDC4A" w14:textId="77777777"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14:paraId="6515F36C" w14:textId="77777777"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14:paraId="16286FD9" w14:textId="77777777"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14:paraId="285783BE" w14:textId="77777777"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14:paraId="4065D46F" w14:textId="77777777"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14:paraId="1D9379F2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Orientace v sociální síti</w:t>
      </w:r>
    </w:p>
    <w:p w14:paraId="3DBA07AA" w14:textId="77777777"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24C4DAED" w14:textId="77777777"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14:paraId="2F0F8B98" w14:textId="77777777" w:rsidR="00684053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14:paraId="01CC2E22" w14:textId="11281BE2" w:rsidR="00CC45A2" w:rsidRPr="00CC45A2" w:rsidRDefault="00CC45A2" w:rsidP="00CC45A2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CC45A2">
        <w:rPr>
          <w:rFonts w:ascii="Times New Roman" w:hAnsi="Times New Roman"/>
          <w:sz w:val="24"/>
          <w:szCs w:val="24"/>
        </w:rPr>
        <w:t>lze přihlédnout i k absenci</w:t>
      </w:r>
    </w:p>
    <w:p w14:paraId="026B035D" w14:textId="77777777" w:rsidR="00684053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14:paraId="5E6CC2A7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Odborný seminář</w:t>
      </w:r>
    </w:p>
    <w:p w14:paraId="0D745F88" w14:textId="77777777"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14:paraId="4481AD3D" w14:textId="77777777"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14:paraId="3DDFC5EA" w14:textId="77777777"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14:paraId="4CB88A28" w14:textId="77777777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E990CCD" w14:textId="624E79CE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</w:t>
      </w:r>
      <w:r w:rsidR="00CC45A2">
        <w:rPr>
          <w:rFonts w:ascii="Times New Roman" w:hAnsi="Times New Roman"/>
          <w:sz w:val="24"/>
          <w:szCs w:val="24"/>
        </w:rPr>
        <w:t>na exkurzi</w:t>
      </w:r>
      <w:r w:rsidRPr="008D439C">
        <w:rPr>
          <w:rFonts w:ascii="Times New Roman" w:hAnsi="Times New Roman"/>
          <w:sz w:val="24"/>
          <w:szCs w:val="24"/>
        </w:rPr>
        <w:t xml:space="preserve">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</w:t>
      </w:r>
      <w:r w:rsidR="00FD4F81">
        <w:rPr>
          <w:rFonts w:ascii="Times New Roman" w:hAnsi="Times New Roman"/>
          <w:sz w:val="24"/>
          <w:szCs w:val="24"/>
        </w:rPr>
        <w:t>ji</w:t>
      </w:r>
      <w:r w:rsidRPr="008D439C">
        <w:rPr>
          <w:rFonts w:ascii="Times New Roman" w:hAnsi="Times New Roman"/>
          <w:sz w:val="24"/>
          <w:szCs w:val="24"/>
        </w:rPr>
        <w:t xml:space="preserve"> nahradit. </w:t>
      </w:r>
    </w:p>
    <w:p w14:paraId="308D005F" w14:textId="4586D57C" w:rsidR="00684053" w:rsidRPr="008D439C" w:rsidRDefault="00684053" w:rsidP="00684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9F6A9C">
        <w:rPr>
          <w:rFonts w:ascii="Times New Roman" w:hAnsi="Times New Roman"/>
          <w:bCs/>
          <w:sz w:val="24"/>
          <w:szCs w:val="24"/>
        </w:rPr>
        <w:t>(</w:t>
      </w:r>
      <w:r w:rsidRPr="009F6A9C">
        <w:rPr>
          <w:rFonts w:ascii="Times New Roman" w:hAnsi="Times New Roman"/>
          <w:sz w:val="23"/>
          <w:szCs w:val="23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školský zákon, ve znění pozdějších předpisů).</w:t>
      </w:r>
    </w:p>
    <w:p w14:paraId="2C540591" w14:textId="77777777" w:rsidR="00684053" w:rsidRPr="008D439C" w:rsidRDefault="00684053" w:rsidP="00684053">
      <w:pPr>
        <w:pStyle w:val="Zkladntext3"/>
        <w:rPr>
          <w:b/>
          <w:bCs/>
          <w:sz w:val="24"/>
        </w:rPr>
      </w:pPr>
    </w:p>
    <w:p w14:paraId="2E666956" w14:textId="77777777"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14:paraId="29E3E408" w14:textId="6AA7C6F9"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bookmarkStart w:id="1" w:name="_Hlk206674124"/>
      <w:r w:rsidRPr="008D439C">
        <w:rPr>
          <w:rFonts w:ascii="Times New Roman" w:hAnsi="Times New Roman"/>
          <w:sz w:val="24"/>
          <w:szCs w:val="24"/>
        </w:rPr>
        <w:t xml:space="preserve">Při akcích konaných mimo školu, kdy místem shromáždění </w:t>
      </w:r>
      <w:r w:rsidR="00CC45A2">
        <w:rPr>
          <w:rFonts w:ascii="Times New Roman" w:hAnsi="Times New Roman"/>
          <w:sz w:val="24"/>
          <w:szCs w:val="24"/>
        </w:rPr>
        <w:t>studentů</w:t>
      </w:r>
      <w:r w:rsidRPr="008D439C">
        <w:rPr>
          <w:rFonts w:ascii="Times New Roman" w:hAnsi="Times New Roman"/>
          <w:sz w:val="24"/>
          <w:szCs w:val="24"/>
        </w:rPr>
        <w:t xml:space="preserve">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minut před dobou shromáždění na určeném místě. Po skončení akce dozor končí na předem určeném místě a v předem stanoveném čase. Místo a čas shromáždění </w:t>
      </w:r>
      <w:r w:rsidR="00CC45A2">
        <w:rPr>
          <w:rFonts w:ascii="Times New Roman" w:hAnsi="Times New Roman"/>
          <w:sz w:val="24"/>
          <w:szCs w:val="24"/>
        </w:rPr>
        <w:t>studentů</w:t>
      </w:r>
      <w:r w:rsidRPr="008D439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skončení akce oznámí škola nejméně jeden den před konáním akce přímo </w:t>
      </w:r>
      <w:r w:rsidR="00CC45A2">
        <w:rPr>
          <w:rFonts w:ascii="Times New Roman" w:hAnsi="Times New Roman"/>
          <w:sz w:val="24"/>
          <w:szCs w:val="24"/>
        </w:rPr>
        <w:t>studentům</w:t>
      </w:r>
      <w:r w:rsidRPr="008D439C">
        <w:rPr>
          <w:rFonts w:ascii="Times New Roman" w:hAnsi="Times New Roman"/>
          <w:sz w:val="24"/>
          <w:szCs w:val="24"/>
        </w:rPr>
        <w:t>.</w:t>
      </w:r>
    </w:p>
    <w:bookmarkEnd w:id="1"/>
    <w:p w14:paraId="26AFCDF1" w14:textId="77777777" w:rsidR="00684053" w:rsidRDefault="00684053" w:rsidP="00684053">
      <w:pPr>
        <w:pStyle w:val="Nadpis2"/>
        <w:spacing w:line="25" w:lineRule="atLeast"/>
        <w:rPr>
          <w:i/>
        </w:rPr>
      </w:pPr>
    </w:p>
    <w:p w14:paraId="417C5185" w14:textId="77777777" w:rsidR="00684053" w:rsidRPr="0041372B" w:rsidRDefault="00684053" w:rsidP="00684053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41372B">
        <w:rPr>
          <w:color w:val="1F497D" w:themeColor="text2"/>
          <w:sz w:val="28"/>
          <w:szCs w:val="28"/>
        </w:rPr>
        <w:t>Dálkové</w:t>
      </w:r>
      <w:r>
        <w:rPr>
          <w:color w:val="1F497D" w:themeColor="text2"/>
          <w:sz w:val="28"/>
          <w:szCs w:val="28"/>
        </w:rPr>
        <w:t xml:space="preserve"> a kombinované</w:t>
      </w:r>
      <w:r w:rsidRPr="0041372B">
        <w:rPr>
          <w:color w:val="1F497D" w:themeColor="text2"/>
          <w:sz w:val="28"/>
          <w:szCs w:val="28"/>
        </w:rPr>
        <w:t xml:space="preserve"> studium</w:t>
      </w:r>
    </w:p>
    <w:p w14:paraId="59503348" w14:textId="77777777" w:rsidR="00684053" w:rsidRPr="0041372B" w:rsidRDefault="00684053" w:rsidP="00684053">
      <w:pPr>
        <w:spacing w:before="120" w:line="25" w:lineRule="atLeast"/>
        <w:rPr>
          <w:rFonts w:ascii="Times New Roman" w:hAnsi="Times New Roman"/>
          <w:b/>
          <w:sz w:val="28"/>
          <w:szCs w:val="28"/>
        </w:rPr>
      </w:pPr>
      <w:r w:rsidRPr="0041372B">
        <w:rPr>
          <w:rFonts w:ascii="Times New Roman" w:hAnsi="Times New Roman"/>
          <w:b/>
          <w:sz w:val="28"/>
          <w:szCs w:val="28"/>
        </w:rPr>
        <w:t>1. ročník</w:t>
      </w:r>
    </w:p>
    <w:p w14:paraId="74CC346F" w14:textId="3A1C1375" w:rsidR="00684053" w:rsidRPr="008D439C" w:rsidRDefault="00684053" w:rsidP="00684053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  <w:r w:rsidR="005D52D6">
        <w:rPr>
          <w:rFonts w:ascii="Times New Roman" w:hAnsi="Times New Roman"/>
          <w:sz w:val="24"/>
          <w:szCs w:val="24"/>
        </w:rPr>
        <w:t>y</w:t>
      </w:r>
    </w:p>
    <w:p w14:paraId="59047A03" w14:textId="622334A9" w:rsidR="00684053" w:rsidRDefault="00684053" w:rsidP="00684053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  <w:r w:rsidR="005D52D6">
        <w:rPr>
          <w:rFonts w:ascii="Times New Roman" w:hAnsi="Times New Roman"/>
          <w:sz w:val="24"/>
          <w:szCs w:val="24"/>
        </w:rPr>
        <w:t>y</w:t>
      </w:r>
    </w:p>
    <w:p w14:paraId="1BC9B051" w14:textId="77777777"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14:paraId="237DC422" w14:textId="77777777"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2ADA0260" w14:textId="60B8D86D"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lastRenderedPageBreak/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</w:t>
      </w:r>
      <w:r w:rsidR="00CC45A2">
        <w:rPr>
          <w:rFonts w:ascii="Times New Roman" w:hAnsi="Times New Roman"/>
          <w:sz w:val="24"/>
          <w:szCs w:val="24"/>
        </w:rPr>
        <w:t>i</w:t>
      </w:r>
      <w:r w:rsidRPr="007027A0">
        <w:rPr>
          <w:rFonts w:ascii="Times New Roman" w:hAnsi="Times New Roman"/>
          <w:sz w:val="24"/>
          <w:szCs w:val="24"/>
        </w:rPr>
        <w:t xml:space="preserve">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  <w:r w:rsidRPr="0027050F">
        <w:rPr>
          <w:rFonts w:ascii="Times New Roman" w:hAnsi="Times New Roman"/>
        </w:rPr>
        <w:t xml:space="preserve"> </w:t>
      </w:r>
    </w:p>
    <w:p w14:paraId="0899F54B" w14:textId="77777777"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1563FE9D" w14:textId="77777777"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 sociální práci, s etickým kodexem sociálních pracovníků ČR, případně k řešení aktuálních odborných problémů vyplývajících z exkurzí.</w:t>
      </w:r>
    </w:p>
    <w:p w14:paraId="382B81A3" w14:textId="77777777" w:rsidR="00684053" w:rsidRDefault="00684053" w:rsidP="00684053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14:paraId="78191152" w14:textId="77777777"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4BA5F16" w14:textId="77777777"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14:paraId="2CDEC934" w14:textId="77777777" w:rsidR="00684053" w:rsidRDefault="00684053" w:rsidP="00684053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14:paraId="79D98D41" w14:textId="77777777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14:paraId="2A0CEDC0" w14:textId="77777777" w:rsidR="00684053" w:rsidRPr="008D439C" w:rsidRDefault="00684053" w:rsidP="00684053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14:paraId="4D09B165" w14:textId="77777777"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07E756F2" w14:textId="77777777" w:rsidR="00684053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14:paraId="50FF40EE" w14:textId="634045A4"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52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ledna 202</w:t>
      </w:r>
      <w:r w:rsidR="005D52D6">
        <w:rPr>
          <w:rFonts w:ascii="Times New Roman" w:hAnsi="Times New Roman"/>
          <w:sz w:val="24"/>
          <w:szCs w:val="24"/>
        </w:rPr>
        <w:t>6</w:t>
      </w:r>
    </w:p>
    <w:p w14:paraId="6B6ABB15" w14:textId="77777777"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7897FF8C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Odborný seminář</w:t>
      </w:r>
    </w:p>
    <w:p w14:paraId="7A33A5DA" w14:textId="77777777"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14:paraId="2A6E901C" w14:textId="77777777"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14:paraId="6E9B5C02" w14:textId="77777777"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14:paraId="5925B0C3" w14:textId="77777777"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14:paraId="15FB0262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Orientace v sociální síti</w:t>
      </w:r>
    </w:p>
    <w:p w14:paraId="59971F66" w14:textId="77777777"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159C75EE" w14:textId="77777777" w:rsidR="00684053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14:paraId="2E64F830" w14:textId="1E957ED8"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52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června 202</w:t>
      </w:r>
      <w:r w:rsidR="005D52D6">
        <w:rPr>
          <w:rFonts w:ascii="Times New Roman" w:hAnsi="Times New Roman"/>
          <w:sz w:val="24"/>
          <w:szCs w:val="24"/>
        </w:rPr>
        <w:t>6</w:t>
      </w:r>
    </w:p>
    <w:p w14:paraId="72922346" w14:textId="77777777" w:rsidR="00684053" w:rsidRPr="008D439C" w:rsidRDefault="00684053" w:rsidP="00684053">
      <w:pPr>
        <w:tabs>
          <w:tab w:val="num" w:pos="833"/>
        </w:tabs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6B602C76" w14:textId="77777777" w:rsidR="00684053" w:rsidRPr="005D52D6" w:rsidRDefault="00684053" w:rsidP="005D52D6">
      <w:pPr>
        <w:pStyle w:val="Nadpis3"/>
        <w:rPr>
          <w:rFonts w:ascii="Times New Roman" w:hAnsi="Times New Roman" w:cs="Times New Roman"/>
          <w:sz w:val="24"/>
        </w:rPr>
      </w:pPr>
      <w:r w:rsidRPr="005D52D6">
        <w:rPr>
          <w:rFonts w:ascii="Times New Roman" w:hAnsi="Times New Roman" w:cs="Times New Roman"/>
          <w:sz w:val="24"/>
        </w:rPr>
        <w:t>Odborný seminář</w:t>
      </w:r>
    </w:p>
    <w:p w14:paraId="6396AAC5" w14:textId="77777777"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14:paraId="262223CE" w14:textId="77777777"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14:paraId="06C46052" w14:textId="77777777"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14:paraId="36AFCC08" w14:textId="77777777"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11332920" w14:textId="1E7D35EB"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</w:t>
      </w:r>
      <w:r w:rsidR="005D52D6">
        <w:rPr>
          <w:rFonts w:ascii="Times New Roman" w:hAnsi="Times New Roman"/>
          <w:sz w:val="24"/>
          <w:szCs w:val="24"/>
        </w:rPr>
        <w:t xml:space="preserve"> </w:t>
      </w:r>
      <w:r w:rsidR="00CC45A2">
        <w:rPr>
          <w:rFonts w:ascii="Times New Roman" w:hAnsi="Times New Roman"/>
          <w:sz w:val="24"/>
          <w:szCs w:val="24"/>
        </w:rPr>
        <w:t xml:space="preserve">1. září </w:t>
      </w:r>
      <w:r>
        <w:rPr>
          <w:rFonts w:ascii="Times New Roman" w:hAnsi="Times New Roman"/>
          <w:sz w:val="24"/>
          <w:szCs w:val="24"/>
        </w:rPr>
        <w:t>202</w:t>
      </w:r>
      <w:r w:rsidR="005D52D6">
        <w:rPr>
          <w:rFonts w:ascii="Times New Roman" w:hAnsi="Times New Roman"/>
          <w:sz w:val="24"/>
          <w:szCs w:val="24"/>
        </w:rPr>
        <w:t>5</w:t>
      </w:r>
    </w:p>
    <w:p w14:paraId="72BD5869" w14:textId="77777777"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14:paraId="64F59F4A" w14:textId="77777777" w:rsidR="00684053" w:rsidRDefault="00684053" w:rsidP="00684053">
      <w:pPr>
        <w:spacing w:after="120" w:line="240" w:lineRule="auto"/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 xml:space="preserve">Mgr. Bc. Viktor </w:t>
      </w:r>
      <w:proofErr w:type="spellStart"/>
      <w:r>
        <w:rPr>
          <w:rFonts w:ascii="Times New Roman" w:hAnsi="Times New Roman"/>
          <w:sz w:val="24"/>
          <w:szCs w:val="24"/>
        </w:rPr>
        <w:t>Csölle</w:t>
      </w:r>
      <w:proofErr w:type="spellEnd"/>
      <w:r>
        <w:rPr>
          <w:rFonts w:ascii="Times New Roman" w:hAnsi="Times New Roman"/>
          <w:sz w:val="24"/>
          <w:szCs w:val="24"/>
        </w:rPr>
        <w:t>, v. r.</w:t>
      </w:r>
    </w:p>
    <w:p w14:paraId="3DECD07F" w14:textId="77777777" w:rsidR="00B103E9" w:rsidRPr="00684053" w:rsidRDefault="00B103E9" w:rsidP="00684053"/>
    <w:sectPr w:rsidR="00B103E9" w:rsidRPr="006840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209F" w14:textId="77777777"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14:paraId="05359624" w14:textId="77777777"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1424" w14:textId="77777777"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14:paraId="07C5856E" w14:textId="77777777"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1F13" w14:textId="77777777"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6D1CEC94" wp14:editId="09ACE01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14:paraId="31C7F1FF" w14:textId="77777777"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14:paraId="5E9B9229" w14:textId="77777777"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14:paraId="11431686" w14:textId="77777777"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735055">
    <w:abstractNumId w:val="0"/>
  </w:num>
  <w:num w:numId="2" w16cid:durableId="2126150578">
    <w:abstractNumId w:val="1"/>
  </w:num>
  <w:num w:numId="3" w16cid:durableId="102384820">
    <w:abstractNumId w:val="2"/>
  </w:num>
  <w:num w:numId="4" w16cid:durableId="119299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41636"/>
    <w:rsid w:val="001516C7"/>
    <w:rsid w:val="001937B8"/>
    <w:rsid w:val="00321C6E"/>
    <w:rsid w:val="003C0AA4"/>
    <w:rsid w:val="003C3155"/>
    <w:rsid w:val="004128A1"/>
    <w:rsid w:val="004732CD"/>
    <w:rsid w:val="004E6806"/>
    <w:rsid w:val="00585693"/>
    <w:rsid w:val="005D52D6"/>
    <w:rsid w:val="005E73D6"/>
    <w:rsid w:val="00684053"/>
    <w:rsid w:val="00733673"/>
    <w:rsid w:val="00762F50"/>
    <w:rsid w:val="00884694"/>
    <w:rsid w:val="008E23C5"/>
    <w:rsid w:val="008F00CF"/>
    <w:rsid w:val="00946CBC"/>
    <w:rsid w:val="00997427"/>
    <w:rsid w:val="00A2686D"/>
    <w:rsid w:val="00A32C38"/>
    <w:rsid w:val="00A4088F"/>
    <w:rsid w:val="00AD2FF4"/>
    <w:rsid w:val="00B103E9"/>
    <w:rsid w:val="00B55EDA"/>
    <w:rsid w:val="00B87D8C"/>
    <w:rsid w:val="00BB597C"/>
    <w:rsid w:val="00C10699"/>
    <w:rsid w:val="00C648BB"/>
    <w:rsid w:val="00CA6EEF"/>
    <w:rsid w:val="00CC45A2"/>
    <w:rsid w:val="00CE75A6"/>
    <w:rsid w:val="00D049F8"/>
    <w:rsid w:val="00D06ABC"/>
    <w:rsid w:val="00D222CE"/>
    <w:rsid w:val="00D36FDB"/>
    <w:rsid w:val="00D3702F"/>
    <w:rsid w:val="00DE1C9D"/>
    <w:rsid w:val="00E1045B"/>
    <w:rsid w:val="00E56A80"/>
    <w:rsid w:val="00E67752"/>
    <w:rsid w:val="00E95841"/>
    <w:rsid w:val="00F00215"/>
    <w:rsid w:val="00F93B0F"/>
    <w:rsid w:val="00FB1736"/>
    <w:rsid w:val="00FD4F81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109EE6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0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684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40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40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5</cp:revision>
  <cp:lastPrinted>2024-08-19T09:18:00Z</cp:lastPrinted>
  <dcterms:created xsi:type="dcterms:W3CDTF">2025-08-06T06:22:00Z</dcterms:created>
  <dcterms:modified xsi:type="dcterms:W3CDTF">2025-08-25T11:27:00Z</dcterms:modified>
</cp:coreProperties>
</file>